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586FC5">
        <w:rPr>
          <w:sz w:val="24"/>
          <w:szCs w:val="24"/>
        </w:rPr>
        <w:t>B340</w:t>
      </w:r>
      <w:r w:rsidRPr="00B155CC">
        <w:rPr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86FC5">
        <w:rPr>
          <w:sz w:val="24"/>
          <w:szCs w:val="24"/>
        </w:rPr>
        <w:t>4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586FC5">
        <w:rPr>
          <w:sz w:val="24"/>
          <w:szCs w:val="24"/>
        </w:rPr>
        <w:t>Limnology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Pr="00586FC5" w:rsidRDefault="00B308BD" w:rsidP="00586FC5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 w:rsidR="00586FC5">
        <w:rPr>
          <w:b/>
          <w:sz w:val="24"/>
          <w:szCs w:val="24"/>
        </w:rPr>
        <w:tab/>
      </w:r>
      <w:r w:rsidR="00586FC5" w:rsidRPr="00586FC5">
        <w:rPr>
          <w:sz w:val="24"/>
          <w:szCs w:val="24"/>
        </w:rPr>
        <w:t xml:space="preserve">Lecture emphasis is placed on physical and chemical principles and their interpretation.  Attention </w:t>
      </w:r>
      <w:r w:rsidR="00586FC5">
        <w:rPr>
          <w:sz w:val="24"/>
          <w:szCs w:val="24"/>
        </w:rPr>
        <w:t>is given to taxonomy, adaptations, distributions and abundance of organisms.  Lab and field studies emphasize techniques and aquatic environmental assessment.  Three hours of lecture/discussions and one three-hour lab/field study weekly.  Prerequisite:  B301.</w:t>
      </w:r>
      <w:r w:rsidRPr="00586FC5">
        <w:rPr>
          <w:sz w:val="24"/>
          <w:szCs w:val="24"/>
        </w:rPr>
        <w:tab/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900"/>
        <w:gridCol w:w="3600"/>
      </w:tblGrid>
      <w:tr w:rsidR="00B308BD" w:rsidTr="00D765C8">
        <w:tc>
          <w:tcPr>
            <w:tcW w:w="1458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EEB 4601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Limnology</w:t>
            </w:r>
          </w:p>
        </w:tc>
        <w:tc>
          <w:tcPr>
            <w:tcW w:w="144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D765C8">
        <w:tc>
          <w:tcPr>
            <w:tcW w:w="1458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315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Limnology</w:t>
            </w:r>
          </w:p>
        </w:tc>
        <w:tc>
          <w:tcPr>
            <w:tcW w:w="144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341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Limnology</w:t>
            </w:r>
          </w:p>
        </w:tc>
        <w:tc>
          <w:tcPr>
            <w:tcW w:w="144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D765C8">
        <w:tc>
          <w:tcPr>
            <w:tcW w:w="1458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420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Limnology</w:t>
            </w:r>
          </w:p>
        </w:tc>
        <w:tc>
          <w:tcPr>
            <w:tcW w:w="144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326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Limnology</w:t>
            </w:r>
          </w:p>
        </w:tc>
        <w:tc>
          <w:tcPr>
            <w:tcW w:w="144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586FC5" w:rsidP="00586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448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Freshwater Ecology</w:t>
            </w:r>
          </w:p>
        </w:tc>
        <w:tc>
          <w:tcPr>
            <w:tcW w:w="144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86FC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586FC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4235D1"/>
    <w:rsid w:val="0052086B"/>
    <w:rsid w:val="00586FC5"/>
    <w:rsid w:val="0065573C"/>
    <w:rsid w:val="00803FF6"/>
    <w:rsid w:val="00811F7A"/>
    <w:rsid w:val="00A41DD4"/>
    <w:rsid w:val="00B155CC"/>
    <w:rsid w:val="00B308BD"/>
    <w:rsid w:val="00B855F7"/>
    <w:rsid w:val="00BF70C5"/>
    <w:rsid w:val="00C831D4"/>
    <w:rsid w:val="00C9675C"/>
    <w:rsid w:val="00D765C8"/>
    <w:rsid w:val="00E72614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895</Characters>
  <Application>Microsoft Office Word</Application>
  <DocSecurity>0</DocSecurity>
  <Lines>7</Lines>
  <Paragraphs>2</Paragraphs>
  <ScaleCrop>false</ScaleCrop>
  <Company>Saint Mary's University of Minnesota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2009-03-18T14:32:00Z</dcterms:created>
  <dcterms:modified xsi:type="dcterms:W3CDTF">2009-03-18T14:35:00Z</dcterms:modified>
</cp:coreProperties>
</file>