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791C0C">
        <w:rPr>
          <w:sz w:val="24"/>
          <w:szCs w:val="24"/>
        </w:rPr>
        <w:t>C142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1C0C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791C0C">
        <w:rPr>
          <w:sz w:val="24"/>
          <w:szCs w:val="24"/>
        </w:rPr>
        <w:t>General Chemistry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791C0C">
        <w:rPr>
          <w:sz w:val="24"/>
          <w:szCs w:val="24"/>
        </w:rPr>
        <w:t xml:space="preserve">This course includes the study of the chemistry of </w:t>
      </w:r>
      <w:proofErr w:type="spellStart"/>
      <w:r w:rsidR="00791C0C">
        <w:rPr>
          <w:sz w:val="24"/>
          <w:szCs w:val="24"/>
        </w:rPr>
        <w:t>redox</w:t>
      </w:r>
      <w:proofErr w:type="spellEnd"/>
      <w:r w:rsidR="00791C0C">
        <w:rPr>
          <w:sz w:val="24"/>
          <w:szCs w:val="24"/>
        </w:rPr>
        <w:t xml:space="preserve"> reactions, chemical kinetics, chemical equilibrium theory, electrochemistry, chemical dynamics, organic chemistry, phase behavior and solution chemistry.  Three hours of lecture per week.  Prerequisite:  C131.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720"/>
        <w:gridCol w:w="3780"/>
      </w:tblGrid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1152</w:t>
            </w:r>
          </w:p>
        </w:tc>
        <w:tc>
          <w:tcPr>
            <w:tcW w:w="3600" w:type="dxa"/>
          </w:tcPr>
          <w:p w:rsidR="00B308BD" w:rsidRDefault="00791C0C" w:rsidP="00981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Principles of </w:t>
            </w:r>
            <w:r w:rsidR="009813DF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hemistry 2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2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1062</w:t>
            </w:r>
          </w:p>
        </w:tc>
        <w:tc>
          <w:tcPr>
            <w:tcW w:w="3600" w:type="dxa"/>
          </w:tcPr>
          <w:p w:rsidR="00B308BD" w:rsidRDefault="00791C0C" w:rsidP="00981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Principles of </w:t>
            </w:r>
            <w:r w:rsidR="009813DF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791C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1022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Principles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112</w:t>
            </w:r>
          </w:p>
        </w:tc>
        <w:tc>
          <w:tcPr>
            <w:tcW w:w="3600" w:type="dxa"/>
          </w:tcPr>
          <w:p w:rsidR="00B308BD" w:rsidRDefault="00791C0C" w:rsidP="00791C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1118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General, Organic, and Biological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1128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Principals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104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213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209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General, Organic &amp; Biochemistry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211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122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791C0C">
        <w:tc>
          <w:tcPr>
            <w:tcW w:w="1458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1202</w:t>
            </w:r>
          </w:p>
        </w:tc>
        <w:tc>
          <w:tcPr>
            <w:tcW w:w="360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II</w:t>
            </w:r>
          </w:p>
        </w:tc>
        <w:tc>
          <w:tcPr>
            <w:tcW w:w="144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791C0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791C0C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791C0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91C0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91C0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91C0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91C0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791C0C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1480E"/>
    <w:rsid w:val="003E2AE6"/>
    <w:rsid w:val="00411902"/>
    <w:rsid w:val="004235D1"/>
    <w:rsid w:val="0052086B"/>
    <w:rsid w:val="00791C0C"/>
    <w:rsid w:val="00803FF6"/>
    <w:rsid w:val="00811F7A"/>
    <w:rsid w:val="009813DF"/>
    <w:rsid w:val="00B155CC"/>
    <w:rsid w:val="00B308BD"/>
    <w:rsid w:val="00BF70C5"/>
    <w:rsid w:val="00C831D4"/>
    <w:rsid w:val="00C9675C"/>
    <w:rsid w:val="00D765C8"/>
    <w:rsid w:val="00D8763F"/>
    <w:rsid w:val="00E72614"/>
    <w:rsid w:val="00EF1CED"/>
    <w:rsid w:val="00F3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1471</Characters>
  <Application>Microsoft Office Word</Application>
  <DocSecurity>0</DocSecurity>
  <Lines>12</Lines>
  <Paragraphs>3</Paragraphs>
  <ScaleCrop>false</ScaleCrop>
  <Company>Saint Mary's University of Minnesota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2009-03-18T16:45:00Z</cp:lastPrinted>
  <dcterms:created xsi:type="dcterms:W3CDTF">2009-03-18T16:38:00Z</dcterms:created>
  <dcterms:modified xsi:type="dcterms:W3CDTF">2009-03-18T16:45:00Z</dcterms:modified>
</cp:coreProperties>
</file>