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2F3AB7">
        <w:rPr>
          <w:sz w:val="24"/>
          <w:szCs w:val="24"/>
        </w:rPr>
        <w:t>MC111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F3AB7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2F3AB7">
        <w:rPr>
          <w:sz w:val="24"/>
          <w:szCs w:val="24"/>
        </w:rPr>
        <w:t>Introduction to Media Communications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2F3AB7">
        <w:rPr>
          <w:sz w:val="24"/>
          <w:szCs w:val="24"/>
        </w:rPr>
        <w:t>A study of the history, production methods, and social and economic factors of the mass media.</w:t>
      </w:r>
      <w:proofErr w:type="gramEnd"/>
      <w:r w:rsidR="002F3AB7">
        <w:rPr>
          <w:sz w:val="24"/>
          <w:szCs w:val="24"/>
        </w:rPr>
        <w:t xml:space="preserve">  This course gives students an understanding of print media, broadcast media and public relations by analyzing the technical development and social impact of media.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 1000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1106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 1010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 1101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Mass Media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 1001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 1110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1061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 Media and Communication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 220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019:153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Popular Culture and Mass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 101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1740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 Media and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 1120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Media, Persuasion, Society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C200</w:t>
            </w:r>
          </w:p>
        </w:tc>
        <w:tc>
          <w:tcPr>
            <w:tcW w:w="360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Mass Communications</w:t>
            </w:r>
          </w:p>
        </w:tc>
        <w:tc>
          <w:tcPr>
            <w:tcW w:w="144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2F3AB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F3AB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Indiana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164BB"/>
    <w:rsid w:val="00182871"/>
    <w:rsid w:val="001A35DE"/>
    <w:rsid w:val="0021781C"/>
    <w:rsid w:val="002F3AB7"/>
    <w:rsid w:val="003E2AE6"/>
    <w:rsid w:val="004235D1"/>
    <w:rsid w:val="0052086B"/>
    <w:rsid w:val="00803FF6"/>
    <w:rsid w:val="00811F7A"/>
    <w:rsid w:val="00845206"/>
    <w:rsid w:val="00A00FC1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2009-04-21T15:40:00Z</cp:lastPrinted>
  <dcterms:created xsi:type="dcterms:W3CDTF">2009-04-21T15:34:00Z</dcterms:created>
  <dcterms:modified xsi:type="dcterms:W3CDTF">2009-04-21T15:40:00Z</dcterms:modified>
</cp:coreProperties>
</file>